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01A3B"/>
          <w:sz w:val="40"/>
        </w:rPr>
        <w:t>security_lab</w:t>
      </w:r>
    </w:p>
    <w:p>
      <w:pPr>
        <w:spacing w:before="600" w:after="200"/>
      </w:pPr>
      <w:r>
        <w:rPr>
          <w:rFonts w:ascii="Arial" w:hAnsi="Arial"/>
          <w:b/>
          <w:color w:val="101A3B"/>
          <w:sz w:val="84"/>
        </w:rPr>
        <w:t>CHECKLISTA</w:t>
        <w:br/>
        <w:t>BEZPIECZNEJ</w:t>
        <w:br/>
        <w:t>WSPÓŁPRACY.</w:t>
      </w:r>
    </w:p>
    <w:p>
      <w:pPr>
        <w:spacing w:after="360"/>
      </w:pPr>
      <w:r>
        <w:rPr>
          <w:rFonts w:ascii="Arial" w:hAnsi="Arial"/>
          <w:color w:val="101A3B"/>
          <w:sz w:val="26"/>
        </w:rPr>
        <w:t>Dokument roboczy do odhaczania wymagań przed dostępem, przed produkcją, po uruchomieniu i podczas stałej pracy.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7"/>
        <w:gridCol w:w="4877"/>
        <w:gridCol w:w="4877"/>
      </w:tblGrid>
      <w:tr>
        <w:trPr>
          <w:tblHeader w:val="true"/>
        </w:trPr>
        <w:tc>
          <w:tcPr>
            <w:tcW w:type="dxa" w:w="487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64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01A3B"/>
                <w:sz w:val="22"/>
              </w:rPr>
              <w:t>MUST</w:t>
              <w:br/>
              <w:t>warunek przed dostępem lub produkcją</w:t>
            </w:r>
          </w:p>
        </w:tc>
        <w:tc>
          <w:tcPr>
            <w:tcW w:type="dxa" w:w="487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D84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01A3B"/>
                <w:sz w:val="22"/>
              </w:rPr>
              <w:t>SHOULD</w:t>
              <w:br/>
              <w:t>plan po zamknięciu braków MUST</w:t>
            </w:r>
          </w:p>
        </w:tc>
        <w:tc>
          <w:tcPr>
            <w:tcW w:type="dxa" w:w="4877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4CCB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01A3B"/>
                <w:sz w:val="22"/>
              </w:rPr>
              <w:t>COULD</w:t>
              <w:br/>
              <w:t>rozszerzenie zależne od ryzyka</w:t>
            </w:r>
          </w:p>
        </w:tc>
      </w:tr>
    </w:tbl>
    <w:p>
      <w:pPr>
        <w:spacing w:before="280"/>
      </w:pPr>
      <w:r>
        <w:rPr>
          <w:rFonts w:ascii="Arial" w:hAnsi="Arial"/>
          <w:b/>
          <w:color w:val="101A3B"/>
          <w:sz w:val="28"/>
        </w:rPr>
        <w:t>Zasada: zaznacz □ dopiero wtedy, gdy istnieje wskazany dowód działania.</w:t>
      </w:r>
    </w:p>
    <w:p>
      <w:pPr>
        <w:pageBreakBefore/>
        <w:spacing w:after="0"/>
      </w:pPr>
    </w:p>
    <w:p>
      <w:pPr>
        <w:spacing w:before="0" w:after="80"/>
      </w:pPr>
      <w:r>
        <w:rPr>
          <w:rFonts w:ascii="Arial" w:hAnsi="Arial"/>
          <w:b/>
          <w:color w:val="FFD84A"/>
          <w:sz w:val="84"/>
        </w:rPr>
        <w:t>01</w:t>
      </w:r>
    </w:p>
    <w:p>
      <w:pPr>
        <w:spacing w:after="160"/>
      </w:pPr>
      <w:r>
        <w:rPr>
          <w:rFonts w:ascii="Arial" w:hAnsi="Arial"/>
          <w:b/>
          <w:color w:val="101A3B"/>
          <w:sz w:val="40"/>
        </w:rPr>
        <w:t>PRZED UZYSKANIEM DOSTĘPU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  <w:gridCol w:w="2438"/>
        <w:gridCol w:w="2438"/>
      </w:tblGrid>
      <w:tr>
        <w:trPr>
          <w:tblHeader w:val="true"/>
        </w:trPr>
        <w:tc>
          <w:tcPr>
            <w:tcW w:type="dxa" w:w="64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✓</w:t>
            </w:r>
          </w:p>
        </w:tc>
        <w:tc>
          <w:tcPr>
            <w:tcW w:type="dxa" w:w="118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PRIORYTET</w:t>
            </w:r>
          </w:p>
        </w:tc>
        <w:tc>
          <w:tcPr>
            <w:tcW w:type="dxa" w:w="496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ZADANIE</w:t>
            </w:r>
          </w:p>
        </w:tc>
        <w:tc>
          <w:tcPr>
            <w:tcW w:type="dxa" w:w="194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WŁAŚCICIEL</w:t>
            </w:r>
          </w:p>
        </w:tc>
        <w:tc>
          <w:tcPr>
            <w:tcW w:type="dxa" w:w="165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TERMIN</w:t>
            </w:r>
          </w:p>
        </w:tc>
        <w:tc>
          <w:tcPr>
            <w:tcW w:type="dxa" w:w="352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DOWÓD / UWAGI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D84A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Wyznaczyć właściciela IT i bezpieczeństwa oraz właściciela relacji z bankiem.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Zarząd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dostępem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Zakres odpowiedzialności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D84A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Wpisać osobę do rejestru osób, urządzeń i dostępów.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dostępem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Wpis w rejestrze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D84A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Utworzyć konto imienne i zatwierdzić minimalny zakres uprawnień.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 + właściciel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dostępem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Akceptacja dostępu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D84A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Włączyć MFA dla zasobów firmowych, administracyjnych i dostępu zdalnego.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dostępem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Status MFA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D84A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Potwierdzić aktualizacje, ochronę antymalware, zaporę i blokadę ekranu.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 + użytkownik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dostępem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Potwierdzenie urządzenia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D84A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Dla sprzętu B2B potwierdzić właściciela urządzenia i zasady usunięcia danych.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 + B2B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dostępem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Akceptacja B2B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D84A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Przeprowadzić szkolenie przed przyznaniem dostępu.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dostępem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Potwierdzenie szkolenia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D84A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Przekazać zasadę: firmowej korespondencji nie wysyłamy na prywatną pocztę.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Przełożony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dostępem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Potwierdzenie zasad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D84A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Ustalić zatwierdzone narzędzia do plików i pracy zdalnej.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dostępem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Lista narzędzi</w:t>
            </w:r>
          </w:p>
        </w:tc>
      </w:tr>
    </w:tbl>
    <w:p>
      <w:pPr>
        <w:pageBreakBefore/>
        <w:spacing w:after="0"/>
      </w:pPr>
    </w:p>
    <w:p>
      <w:pPr>
        <w:spacing w:before="0" w:after="80"/>
      </w:pPr>
      <w:r>
        <w:rPr>
          <w:rFonts w:ascii="Arial" w:hAnsi="Arial"/>
          <w:b/>
          <w:color w:val="1F57F2"/>
          <w:sz w:val="84"/>
        </w:rPr>
        <w:t>02</w:t>
      </w:r>
    </w:p>
    <w:p>
      <w:pPr>
        <w:spacing w:after="160"/>
      </w:pPr>
      <w:r>
        <w:rPr>
          <w:rFonts w:ascii="Arial" w:hAnsi="Arial"/>
          <w:b/>
          <w:color w:val="101A3B"/>
          <w:sz w:val="40"/>
        </w:rPr>
        <w:t>PRZED PRODUKCJĄ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  <w:gridCol w:w="2438"/>
        <w:gridCol w:w="2438"/>
      </w:tblGrid>
      <w:tr>
        <w:trPr>
          <w:tblHeader w:val="true"/>
        </w:trPr>
        <w:tc>
          <w:tcPr>
            <w:tcW w:type="dxa" w:w="64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✓</w:t>
            </w:r>
          </w:p>
        </w:tc>
        <w:tc>
          <w:tcPr>
            <w:tcW w:type="dxa" w:w="118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PRIORYTET</w:t>
            </w:r>
          </w:p>
        </w:tc>
        <w:tc>
          <w:tcPr>
            <w:tcW w:type="dxa" w:w="496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ZADANIE</w:t>
            </w:r>
          </w:p>
        </w:tc>
        <w:tc>
          <w:tcPr>
            <w:tcW w:type="dxa" w:w="194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WŁAŚCICIEL</w:t>
            </w:r>
          </w:p>
        </w:tc>
        <w:tc>
          <w:tcPr>
            <w:tcW w:type="dxa" w:w="165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TERMIN</w:t>
            </w:r>
          </w:p>
        </w:tc>
        <w:tc>
          <w:tcPr>
            <w:tcW w:type="dxa" w:w="352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DOWÓD / UWAGI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57F2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Oddzielić środowisko produkcyjne od testowego.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Opiekun usługi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produkcją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Schemat środowisk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57F2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Określić kategorie danych, lokalizację, dostęp, retencję i usuwanie.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Umowa + IT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produkcją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Rejestr danych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57F2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Dopuścić wyłącznie połączenia potrzebne do działania usługi.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Opiekun usługi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produkcją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Reguły sieciowe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57F2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Włączyć logowanie dostępów, zmian uprawnień i działań administracyjnych.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Opiekun usługi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produkcją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Próbka logów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57F2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Ustalić zakres i częstotliwość kopii oraz wykonać test odtworzenia.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Opiekun usługi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produkcją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Plan i protokół testu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57F2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Ustalić proces zmian: właściciel, test, akceptacja i wycofanie.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Opiekun usługi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produkcją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Rejestr zmiany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57F2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Uruchomić monitoring podatności i rejestr poprawek.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Opiekun systemu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produkcją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Rejestr podatności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57F2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Ustalić wewnętrzną ścieżkę zgłoszenia incydentu.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produkcją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Instrukcja i kontakt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1F57F2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Uzgodnić z bankiem kanał i termin powiadomienia.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Właściciel umowy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Przed produkcją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Zapis w umowie/ustaleniach</w:t>
            </w:r>
          </w:p>
        </w:tc>
      </w:tr>
    </w:tbl>
    <w:p>
      <w:pPr>
        <w:pageBreakBefore/>
        <w:spacing w:after="0"/>
      </w:pPr>
    </w:p>
    <w:p>
      <w:pPr>
        <w:spacing w:before="0" w:after="80"/>
      </w:pPr>
      <w:r>
        <w:rPr>
          <w:rFonts w:ascii="Arial" w:hAnsi="Arial"/>
          <w:b/>
          <w:color w:val="FF643B"/>
          <w:sz w:val="84"/>
        </w:rPr>
        <w:t>03</w:t>
      </w:r>
    </w:p>
    <w:p>
      <w:pPr>
        <w:spacing w:after="160"/>
      </w:pPr>
      <w:r>
        <w:rPr>
          <w:rFonts w:ascii="Arial" w:hAnsi="Arial"/>
          <w:b/>
          <w:color w:val="101A3B"/>
          <w:sz w:val="40"/>
        </w:rPr>
        <w:t>PO URUCHOMIENIU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  <w:gridCol w:w="2438"/>
        <w:gridCol w:w="2438"/>
      </w:tblGrid>
      <w:tr>
        <w:trPr>
          <w:tblHeader w:val="true"/>
        </w:trPr>
        <w:tc>
          <w:tcPr>
            <w:tcW w:type="dxa" w:w="64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✓</w:t>
            </w:r>
          </w:p>
        </w:tc>
        <w:tc>
          <w:tcPr>
            <w:tcW w:type="dxa" w:w="118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PRIORYTET</w:t>
            </w:r>
          </w:p>
        </w:tc>
        <w:tc>
          <w:tcPr>
            <w:tcW w:type="dxa" w:w="496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ZADANIE</w:t>
            </w:r>
          </w:p>
        </w:tc>
        <w:tc>
          <w:tcPr>
            <w:tcW w:type="dxa" w:w="194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WŁAŚCICIEL</w:t>
            </w:r>
          </w:p>
        </w:tc>
        <w:tc>
          <w:tcPr>
            <w:tcW w:type="dxa" w:w="165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TERMIN</w:t>
            </w:r>
          </w:p>
        </w:tc>
        <w:tc>
          <w:tcPr>
            <w:tcW w:type="dxa" w:w="352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DOWÓD / UWAGI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643B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Sprawdzić, czy logi są kompletne i nie zawierają haseł ani kluczy.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Opiekun usługi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Po uruchomieniu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Próbka logów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643B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Usunąć niepotrzebne konta, sesje i tokeny.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Po uruchomieniu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Przegląd dostępów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643B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Potwierdzić wykonanie kopii i wynik testu odtworzenia.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Opiekun usługi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Po uruchomieniu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Protokół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643B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Zarejestrować podatności oraz wykonane poprawki.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Opiekun systemu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Na bieżąco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Rejestr poprawek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643B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Po zmianach zaktualizować wykaz systemów, dostawców i dostępów.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 + umowa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Po zmianie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Aktualny rejestr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643B"/>
                <w:sz w:val="15"/>
              </w:rPr>
              <w:t>SHOULD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Oddzielić konta administracyjne od zwykłych kont użytkownika.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Po 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Lista kont admin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643B"/>
                <w:sz w:val="15"/>
              </w:rPr>
              <w:t>SHOULD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Przeprowadzić ćwiczenie reakcji na incydent.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 + usługa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Według planu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Protokół ćwiczenia</w:t>
            </w:r>
          </w:p>
        </w:tc>
      </w:tr>
    </w:tbl>
    <w:p>
      <w:pPr>
        <w:pageBreakBefore/>
        <w:spacing w:after="0"/>
      </w:pPr>
    </w:p>
    <w:p>
      <w:pPr>
        <w:spacing w:before="0" w:after="80"/>
      </w:pPr>
      <w:r>
        <w:rPr>
          <w:rFonts w:ascii="Arial" w:hAnsi="Arial"/>
          <w:b/>
          <w:color w:val="4CCBE8"/>
          <w:sz w:val="84"/>
        </w:rPr>
        <w:t>04</w:t>
      </w:r>
    </w:p>
    <w:p>
      <w:pPr>
        <w:spacing w:after="160"/>
      </w:pPr>
      <w:r>
        <w:rPr>
          <w:rFonts w:ascii="Arial" w:hAnsi="Arial"/>
          <w:b/>
          <w:color w:val="101A3B"/>
          <w:sz w:val="40"/>
        </w:rPr>
        <w:t>DZIAŁANIA CIĄGŁE I ODEJŚCIA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  <w:gridCol w:w="2438"/>
        <w:gridCol w:w="2438"/>
      </w:tblGrid>
      <w:tr>
        <w:trPr>
          <w:tblHeader w:val="true"/>
        </w:trPr>
        <w:tc>
          <w:tcPr>
            <w:tcW w:type="dxa" w:w="64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✓</w:t>
            </w:r>
          </w:p>
        </w:tc>
        <w:tc>
          <w:tcPr>
            <w:tcW w:type="dxa" w:w="118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PRIORYTET</w:t>
            </w:r>
          </w:p>
        </w:tc>
        <w:tc>
          <w:tcPr>
            <w:tcW w:type="dxa" w:w="496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ZADANIE</w:t>
            </w:r>
          </w:p>
        </w:tc>
        <w:tc>
          <w:tcPr>
            <w:tcW w:type="dxa" w:w="194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WŁAŚCICIEL</w:t>
            </w:r>
          </w:p>
        </w:tc>
        <w:tc>
          <w:tcPr>
            <w:tcW w:type="dxa" w:w="165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TERMIN</w:t>
            </w:r>
          </w:p>
        </w:tc>
        <w:tc>
          <w:tcPr>
            <w:tcW w:type="dxa" w:w="352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101A3B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DF5"/>
                <w:sz w:val="15"/>
              </w:rPr>
              <w:t>DOWÓD / UWAGI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4CCBE8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Aktualizacje, podatności, incydenty, zmiany i rejestry.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Właściciele obszarów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Na bieżąco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Data i wynik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4CCBE8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Przegląd osób, kont, ról i uprawnień.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Kwartalnie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Protokół przeglądu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4CCBE8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Szkolenie przypominające, przegląd dostawców, dokumentu i kontaktów.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 + umowa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Raz w roku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Potwierdzenia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4CCBE8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Test odtworzenia, przegląd architektury, sieci i ciągłości.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Opiekun usługi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Po dużej zmianie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FFFFF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Protokół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□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color w:val="4CCBE8"/>
                <w:sz w:val="15"/>
              </w:rPr>
              <w:t>MUST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color w:val="101A3B"/>
                <w:sz w:val="15"/>
              </w:rPr>
              <w:t>Po zakończeniu współpracy odebrać dostęp, sesje i tokeny oraz potwierdzić usunięcie danych.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IT + przełożony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Przy odejściu</w:t>
            </w:r>
          </w:p>
        </w:tc>
        <w:tc>
          <w:tcPr>
            <w:tcW w:type="dxa" w:w="243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4" w:color="B7BDC5"/>
              <w:left w:val="single" w:sz="4" w:color="B7BDC5"/>
              <w:bottom w:val="single" w:sz="4" w:color="B7BDC5"/>
              <w:right w:val="single" w:sz="4" w:color="B7BDC5"/>
            </w:tcBorders>
            <w:shd w:fill="F4F1E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101A3B"/>
                <w:sz w:val="15"/>
              </w:rPr>
              <w:t>Lista zamknięcia</w:t>
            </w:r>
          </w:p>
        </w:tc>
      </w:tr>
    </w:tbl>
    <w:p>
      <w:pPr>
        <w:spacing w:before="240"/>
      </w:pPr>
      <w:r>
        <w:rPr>
          <w:rFonts w:ascii="Arial" w:hAnsi="Arial"/>
          <w:b/>
          <w:color w:val="101A3B"/>
          <w:sz w:val="28"/>
        </w:rPr>
        <w:t>GOTOWE = właściciel + status + dowód + data kolejnego przeglądu</w:t>
      </w:r>
    </w:p>
    <w:p>
      <w:r>
        <w:br w:type="page"/>
      </w:r>
    </w:p>
    <w:p>
      <w:pPr>
        <w:pStyle w:val="Title"/>
        <w:keepNext/>
        <w:spacing w:after="160"/>
      </w:pPr>
      <w:r>
        <w:rPr>
          <w:rFonts w:ascii="Arial" w:hAnsi="Arial"/>
          <w:b/>
          <w:color w:val="000000"/>
          <w:sz w:val="48"/>
        </w:rPr>
        <w:t>Instrukcja audytu urządzenia pracownika</w:t>
      </w:r>
    </w:p>
    <w:p>
      <w:pPr>
        <w:spacing w:after="200" w:line="259" w:lineRule="auto"/>
      </w:pPr>
      <w:r>
        <w:rPr>
          <w:rFonts w:ascii="Arial" w:hAnsi="Arial"/>
          <w:b w:val="0"/>
          <w:color w:val="000000"/>
          <w:sz w:val="20"/>
        </w:rPr>
        <w:t>Instrukcja prowadzi pracownika od uruchomienia asystenta do zapisania końcowego raportu. Kontrola obejmuje podstawowe zabezpieczenia komputera używanego do pracy. Nie wymaga udostępniania treści prywatnych plików, wiadomości ani danych logowania.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000"/>
      </w:tblGrid>
      <w:tr>
        <w:tc>
          <w:tcPr>
            <w:tcW w:type="dxa" w:w="792"/>
            <w:vAlign w:val="center"/>
            <w:shd w:fill="FFD84D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30"/>
              </w:rPr>
              <w:t>01</w:t>
            </w:r>
          </w:p>
        </w:tc>
        <w:tc>
          <w:tcPr>
            <w:tcW w:type="dxa" w:w="9000"/>
            <w:vAlign w:val="center"/>
            <w:shd w:fill="F5F1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Uruchom asystenta / Użyj zatwierdzonego narzędzia lokalnego albo zwykłego czatu. Tylko zatwierdzone narzędzie lokalne może wykonywać kontrole na urządzeniu.</w:t>
            </w:r>
            <w:r>
              <w:rPr>
                <w:rFonts w:ascii="Arial" w:hAnsi="Arial"/>
                <w:b w:val="0"/>
                <w:color w:val="464B58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000"/>
      </w:tblGrid>
      <w:tr>
        <w:tc>
          <w:tcPr>
            <w:tcW w:type="dxa" w:w="792"/>
            <w:vAlign w:val="center"/>
            <w:shd w:fill="2D5CF6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30"/>
              </w:rPr>
              <w:t>02</w:t>
            </w:r>
          </w:p>
        </w:tc>
        <w:tc>
          <w:tcPr>
            <w:tcW w:type="dxa" w:w="9000"/>
            <w:vAlign w:val="center"/>
            <w:shd w:fill="F5F1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Wklej prompt / Pozwól na kontrole tylko do odczytu wyłącznie w zatwierdzonym środowisku z narzędziami lokalnymi.</w:t>
            </w:r>
            <w:r>
              <w:rPr>
                <w:rFonts w:ascii="Arial" w:hAnsi="Arial"/>
                <w:b w:val="0"/>
                <w:color w:val="464B58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000"/>
      </w:tblGrid>
      <w:tr>
        <w:tc>
          <w:tcPr>
            <w:tcW w:type="dxa" w:w="792"/>
            <w:vAlign w:val="center"/>
            <w:shd w:fill="FF6247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30"/>
              </w:rPr>
              <w:t>03</w:t>
            </w:r>
          </w:p>
        </w:tc>
        <w:tc>
          <w:tcPr>
            <w:tcW w:type="dxa" w:w="9000"/>
            <w:vAlign w:val="center"/>
            <w:shd w:fill="F5F1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Odpowiedz zgodnie ze stanem faktycznym</w:t>
              <w:br/>
            </w:r>
            <w:r>
              <w:rPr>
                <w:rFonts w:ascii="Arial" w:hAnsi="Arial"/>
                <w:b w:val="0"/>
                <w:color w:val="464B58"/>
                <w:sz w:val="19"/>
              </w:rPr>
              <w:t>Potwierdź właściciela urządzenia oraz działanie MFA. Nie podawaj haseł, kodów ani kluczy odzyskiwania.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000"/>
      </w:tblGrid>
      <w:tr>
        <w:tc>
          <w:tcPr>
            <w:tcW w:type="dxa" w:w="792"/>
            <w:vAlign w:val="center"/>
            <w:shd w:fill="FFD84D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30"/>
              </w:rPr>
              <w:t>04</w:t>
            </w:r>
          </w:p>
        </w:tc>
        <w:tc>
          <w:tcPr>
            <w:tcW w:type="dxa" w:w="9000"/>
            <w:vAlign w:val="center"/>
            <w:shd w:fill="F5F1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Zatwierdź bezpieczne poprawki</w:t>
              <w:br/>
            </w:r>
            <w:r>
              <w:rPr>
                <w:rFonts w:ascii="Arial" w:hAnsi="Arial"/>
                <w:b w:val="0"/>
                <w:color w:val="464B58"/>
                <w:sz w:val="19"/>
              </w:rPr>
              <w:t>Agent może wykonać standardowe i odwracalne zmiany dopiero po uzyskaniu zgody użytkownika.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000"/>
      </w:tblGrid>
      <w:tr>
        <w:tc>
          <w:tcPr>
            <w:tcW w:type="dxa" w:w="792"/>
            <w:vAlign w:val="center"/>
            <w:shd w:fill="2D5CF6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30"/>
              </w:rPr>
              <w:t>05</w:t>
            </w:r>
          </w:p>
        </w:tc>
        <w:tc>
          <w:tcPr>
            <w:tcW w:type="dxa" w:w="9000"/>
            <w:vAlign w:val="center"/>
            <w:shd w:fill="F5F1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/>
                <w:b/>
                <w:color w:val="000000"/>
                <w:sz w:val="22"/>
              </w:rPr>
              <w:t>Zapisz raport i potwierdź wykonanie / Zapisz ostateczny raport w uzgodnionym miejscu i przekaż krótkie potwierdzenie ustalonym kanałem.</w:t>
            </w:r>
            <w:r>
              <w:rPr>
                <w:rFonts w:ascii="Arial" w:hAnsi="Arial"/>
                <w:b w:val="0"/>
                <w:color w:val="464B58"/>
                <w:sz w:val="19"/>
              </w:rPr>
            </w:r>
          </w:p>
        </w:tc>
      </w:tr>
    </w:tbl>
    <w:p>
      <w:pPr>
        <w:spacing w:after="0"/>
      </w:pPr>
    </w:p>
    <w:p>
      <w:pPr>
        <w:keepNext/>
        <w:spacing w:before="140" w:after="100"/>
      </w:pPr>
      <w:r>
        <w:rPr>
          <w:rFonts w:ascii="Arial" w:hAnsi="Arial"/>
          <w:b/>
          <w:color w:val="000000"/>
          <w:sz w:val="25"/>
        </w:rPr>
        <w:t>Przygotowanie</w:t>
      </w:r>
    </w:p>
    <w:p>
      <w:pPr>
        <w:pStyle w:val="ListBullet"/>
        <w:spacing w:after="50"/>
        <w:ind w:left="346" w:hanging="202"/>
      </w:pPr>
      <w:r>
        <w:rPr>
          <w:rFonts w:ascii="Arial" w:hAnsi="Arial"/>
          <w:b w:val="0"/>
          <w:color w:val="000000"/>
          <w:sz w:val="20"/>
        </w:rPr>
        <w:t>Otwórz zatwierdzone narzędzie lub zwykły czat. Zwykły czat nie może samodzielnie wykonać kontroli komputera.</w:t>
      </w:r>
    </w:p>
    <w:p>
      <w:pPr>
        <w:pStyle w:val="ListBullet"/>
        <w:spacing w:after="50"/>
        <w:ind w:left="346" w:hanging="202"/>
      </w:pPr>
      <w:r>
        <w:rPr>
          <w:rFonts w:ascii="Arial" w:hAnsi="Arial"/>
          <w:b w:val="0"/>
          <w:color w:val="000000"/>
          <w:sz w:val="20"/>
        </w:rPr>
        <w:t>Jeśli narzędzie lokalne jest potrzebne, korzystaj wyłącznie z zatwierdzonego rozwiązania organizacji.</w:t>
      </w:r>
    </w:p>
    <w:p>
      <w:pPr>
        <w:pStyle w:val="ListBullet"/>
        <w:spacing w:after="50"/>
        <w:ind w:left="346" w:hanging="202"/>
      </w:pPr>
      <w:r>
        <w:rPr>
          <w:rFonts w:ascii="Arial" w:hAnsi="Arial"/>
          <w:b w:val="0"/>
          <w:color w:val="000000"/>
          <w:sz w:val="20"/>
        </w:rPr>
        <w:t>Kontrolę wykonaj na komputerze używanym do pracy.</w:t>
      </w:r>
    </w:p>
    <w:p>
      <w:pPr>
        <w:pStyle w:val="ListBullet"/>
        <w:spacing w:after="50"/>
        <w:ind w:left="346" w:hanging="202"/>
      </w:pPr>
      <w:r>
        <w:rPr>
          <w:rFonts w:ascii="Arial" w:hAnsi="Arial"/>
          <w:b w:val="0"/>
          <w:color w:val="000000"/>
          <w:sz w:val="20"/>
        </w:rPr>
        <w:t>Zezwól na lokalne kontrole tylko wtedy, gdy używasz zatwierdzonego narzędzia i wyrażasz zgodę. Nie przekazuj haseł, tokenów, kodów MFA ani kluczy odzyskiwania.</w:t>
      </w:r>
    </w:p>
    <w:p>
      <w:r>
        <w:br w:type="page"/>
      </w:r>
    </w:p>
    <w:p>
      <w:pPr>
        <w:keepNext/>
        <w:spacing w:before="200" w:after="100"/>
      </w:pPr>
      <w:r>
        <w:rPr>
          <w:rFonts w:ascii="Arial" w:hAnsi="Arial"/>
          <w:b/>
          <w:color w:val="000000"/>
          <w:sz w:val="36"/>
        </w:rPr>
        <w:t>Prompt do audytu</w:t>
      </w:r>
    </w:p>
    <w:p>
      <w:pPr>
        <w:spacing w:after="140" w:line="259" w:lineRule="auto"/>
      </w:pPr>
      <w:r>
        <w:rPr>
          <w:rFonts w:ascii="Arial" w:hAnsi="Arial"/>
          <w:b w:val="0"/>
          <w:color w:val="000000"/>
          <w:sz w:val="20"/>
        </w:rPr>
        <w:t>Skopiuj cały tekst z poniższego pola i wklej go do wybranego asystenta.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4"/>
      </w:tblGrid>
      <w:tr>
        <w:tc>
          <w:tcPr>
            <w:tcW w:type="dxa" w:w="14630"/>
            <w:shd w:fill="EAF0FF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  <w:t>Jesteś asystentem, który pomaga użytkownikowi przejść audyt bezpieczeństwa urządzenia. Najpierw wyjaśnij swoje możliwości: zwykła rozmowa nie może automatycznie sprawdzić komputera. Kontrole techniczne wykonuj tylko wtedy, gdy działasz w środowisku z zatwierdzonymi narzędziami lokalnymi i użytkownik wyrazi na to zgodę. W przeciwnym razie poproś o bezpieczne informacje potrzebne do oceny lub podaj instrukcję ręczną.</w:t>
              <w:br/>
              <w:br/>
              <w:t>Zacznij od dwóch krótkich pytań:</w:t>
              <w:br/>
              <w:t>1. Czy komputer jest firmowy, prywatny czy B2B?</w:t>
              <w:br/>
              <w:t>2. Czy dostęp do zasobów firmowych wymaga MFA (uwierzytelniania wieloskładnikowego)?</w:t>
              <w:br/>
              <w:br/>
              <w:t>Gdy masz zatwierdzone narzędzia lokalne, wykonaj wyłącznie bezpieczne kontrole tylko do odczytu: wersji i aktualności systemu, automatycznych aktualizacji, ochrony antymalware, zapory, szyfrowania dysku, automatycznej blokady ekranu oraz dostępnych informacji o MFA. Nie odczytuj treści plików ani wiadomości. Nie wyświetlaj haseł, tokenów, kluczy odzyskiwania ani kodów MFA. Korespondencji firmowej nie należy przekazywać na prywatną pocztę; brak technicznej blokady nie jest sam w sobie błędem, jeśli użytkownik potwierdza tę zasadę.</w:t>
              <w:br/>
              <w:br/>
              <w:t>Zwróć dokładnie dwie sekcje: OBECNY STAN (TAK, NIE albo DO WERYFIKACJI, uzasadnienie i sposób potwierdzenia) oraz CO NALEŻY WDROŻYĆ LUB POPRAWIĆ (wyłącznie faktyczne braki, ważność, bezpieczna poprawka, wymagane uprawnienia i możliwość automatycznego wykonania). Niczego nie zmieniaj bez jednoznacznej zgody. Po zgodzie wykonuj wyłącznie standardowe, odwracalne poprawki; nie zmieniaj kont, VPN, dostępu zdalnego ani konfiguracji projektów bez osobnej zgody. Po poprawkach powtórz kontrole.</w:t>
            </w:r>
          </w:p>
          <w:p>
            <w:pPr>
              <w:spacing w:after="8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  <w:p>
            <w:pPr>
              <w:spacing w:after="8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  <w:p>
            <w:pPr>
              <w:spacing w:after="8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</w:p>
          <w:p>
            <w:pPr>
              <w:spacing w:after="80" w:line="252" w:lineRule="auto"/>
            </w:pPr>
            <w:r>
              <w:rPr>
                <w:rFonts w:ascii="Arial" w:hAnsi="Arial"/>
                <w:b/>
                <w:color w:val="000000"/>
                <w:sz w:val="18"/>
              </w:rPr>
            </w:r>
          </w:p>
          <w:p>
            <w:pPr>
              <w:spacing w:after="8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  <w:p>
            <w:pPr>
              <w:spacing w:after="8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  <w:p>
            <w:pPr>
              <w:spacing w:after="8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  <w:p>
            <w:pPr>
              <w:spacing w:after="0" w:line="252" w:lineRule="auto"/>
            </w:pPr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keepNext/>
        <w:spacing w:before="200" w:after="100"/>
      </w:pPr>
      <w:r>
        <w:rPr>
          <w:rFonts w:ascii="Arial" w:hAnsi="Arial"/>
          <w:b/>
          <w:color w:val="000000"/>
          <w:sz w:val="36"/>
        </w:rPr>
        <w:t>Zapis wyniku</w:t>
      </w:r>
    </w:p>
    <w:p>
      <w:pPr>
        <w:pStyle w:val="ListBullet"/>
        <w:spacing w:after="50"/>
        <w:ind w:left="346" w:hanging="202"/>
      </w:pPr>
      <w:r>
        <w:rPr>
          <w:rFonts w:ascii="Arial" w:hAnsi="Arial"/>
          <w:b w:val="0"/>
          <w:color w:val="000000"/>
          <w:sz w:val="20"/>
        </w:rPr>
        <w:t>Odpowiedz agentowi zgodnie ze stanem faktycznym.</w:t>
      </w:r>
    </w:p>
    <w:p>
      <w:pPr>
        <w:pStyle w:val="ListBullet"/>
        <w:spacing w:after="50"/>
        <w:ind w:left="346" w:hanging="202"/>
      </w:pPr>
      <w:r>
        <w:rPr>
          <w:rFonts w:ascii="Arial" w:hAnsi="Arial"/>
          <w:b w:val="0"/>
          <w:color w:val="000000"/>
          <w:sz w:val="20"/>
        </w:rPr>
        <w:t>Jeśli narzędzie z zatwierdzonymi uprawnieniami lokalnymi wykryje braki, możesz poprosić o bezpieczne poprawki. Zatwierdzaj tylko zmiany, które rozumiesz.</w:t>
      </w:r>
    </w:p>
    <w:p>
      <w:pPr>
        <w:pStyle w:val="ListBullet"/>
        <w:spacing w:after="50"/>
        <w:ind w:left="346" w:hanging="202"/>
      </w:pPr>
      <w:r>
        <w:rPr>
          <w:rFonts w:ascii="Arial" w:hAnsi="Arial"/>
          <w:b w:val="0"/>
          <w:color w:val="000000"/>
          <w:sz w:val="20"/>
        </w:rPr>
        <w:t>Po poprawkach agent ma ponownie wykonać kontrolę i przygotować ostateczny raport.</w:t>
      </w:r>
    </w:p>
    <w:p>
      <w:pPr>
        <w:pStyle w:val="ListBullet"/>
        <w:spacing w:after="50"/>
        <w:ind w:left="346" w:hanging="202"/>
      </w:pPr>
      <w:r>
        <w:rPr>
          <w:rFonts w:ascii="Arial" w:hAnsi="Arial"/>
          <w:b w:val="0"/>
          <w:color w:val="000000"/>
          <w:sz w:val="20"/>
        </w:rPr>
        <w:t>Zapisz końcowy raport w uzgodnionym miejscu zgodnie z zasadami organizacji.</w:t>
      </w:r>
    </w:p>
    <w:p>
      <w:pPr>
        <w:pStyle w:val="ListBullet"/>
        <w:spacing w:after="50"/>
        <w:ind w:left="346" w:hanging="202"/>
      </w:pPr>
      <w:r>
        <w:rPr>
          <w:rFonts w:ascii="Arial" w:hAnsi="Arial"/>
          <w:b w:val="0"/>
          <w:color w:val="000000"/>
          <w:sz w:val="20"/>
        </w:rPr>
        <w:t>Wklej pełną ostateczną odpowiedź agenta. Nie wklejaj haseł, tokenów, kluczy odzyskiwania ani kodów MFA.</w:t>
      </w:r>
    </w:p>
    <w:p>
      <w:pPr>
        <w:pStyle w:val="ListBullet"/>
        <w:spacing w:after="50"/>
        <w:ind w:left="346" w:hanging="202"/>
      </w:pPr>
      <w:r>
        <w:rPr>
          <w:rFonts w:ascii="Arial" w:hAnsi="Arial"/>
          <w:b w:val="0"/>
          <w:color w:val="000000"/>
          <w:sz w:val="20"/>
        </w:rPr>
        <w:t>Potwierdź osobie odpowiedzialnej wykonanie audytu zgodnie z ustalonym kanałem. Nie przesyłaj raportu, jeśli zasady organizacji tego nie wymagają.</w:t>
      </w:r>
    </w:p>
    <w:p>
      <w:pPr>
        <w:keepNext/>
        <w:spacing w:before="140" w:after="100"/>
      </w:pPr>
      <w:r>
        <w:rPr>
          <w:rFonts w:ascii="Arial" w:hAnsi="Arial"/>
          <w:b/>
          <w:color w:val="000000"/>
          <w:sz w:val="25"/>
        </w:rPr>
        <w:t>Pomoc</w:t>
      </w:r>
    </w:p>
    <w:p>
      <w:pPr>
        <w:spacing w:after="100" w:line="259" w:lineRule="auto"/>
      </w:pPr>
      <w:r>
        <w:rPr>
          <w:rFonts w:ascii="Arial" w:hAnsi="Arial"/>
          <w:b w:val="0"/>
          <w:color w:val="000000"/>
          <w:sz w:val="20"/>
        </w:rPr>
        <w:t>W razie pytań skontaktuj się z osobą odpowiedzialną za IT lub bezpieczeństwo w organizacji.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605" w:right="605" w:bottom="720" w:left="605" w:header="259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101A3B"/>
        <w:sz w:val="14"/>
      </w:rPr>
      <w:t xml:space="preserve">Wersja 1.0  •  22 września 2026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01A3B"/>
        <w:sz w:val="16"/>
      </w:rPr>
      <w:t>security_lab  /  CHECKLISTA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